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Қазақстан</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Республикасы</w:t>
      </w:r>
      <w:proofErr w:type="spellEnd"/>
    </w:p>
    <w:p w:rsidR="00053271"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Қаржы</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министрінің</w:t>
      </w:r>
      <w:proofErr w:type="spellEnd"/>
    </w:p>
    <w:p w:rsidR="00053271" w:rsidRPr="00CD340F" w:rsidRDefault="00053271" w:rsidP="00053271">
      <w:pPr>
        <w:spacing w:after="0" w:line="240" w:lineRule="auto"/>
        <w:ind w:left="4536"/>
        <w:jc w:val="center"/>
        <w:rPr>
          <w:bCs/>
          <w:sz w:val="28"/>
          <w:szCs w:val="28"/>
          <w:bdr w:val="none" w:sz="0" w:space="0" w:color="auto" w:frame="1"/>
          <w:lang w:val="ru-RU"/>
        </w:rPr>
      </w:pPr>
      <w:r w:rsidRPr="00CD340F">
        <w:rPr>
          <w:bCs/>
          <w:sz w:val="28"/>
          <w:szCs w:val="28"/>
          <w:bdr w:val="none" w:sz="0" w:space="0" w:color="auto" w:frame="1"/>
          <w:lang w:val="ru-RU"/>
        </w:rPr>
        <w:t xml:space="preserve">2024 </w:t>
      </w:r>
      <w:proofErr w:type="spellStart"/>
      <w:r w:rsidRPr="00CD340F">
        <w:rPr>
          <w:bCs/>
          <w:sz w:val="28"/>
          <w:szCs w:val="28"/>
          <w:bdr w:val="none" w:sz="0" w:space="0" w:color="auto" w:frame="1"/>
          <w:lang w:val="ru-RU"/>
        </w:rPr>
        <w:t>жылғы</w:t>
      </w:r>
      <w:proofErr w:type="spellEnd"/>
      <w:r w:rsidRPr="00CD340F">
        <w:rPr>
          <w:bCs/>
          <w:sz w:val="28"/>
          <w:szCs w:val="28"/>
          <w:bdr w:val="none" w:sz="0" w:space="0" w:color="auto" w:frame="1"/>
          <w:lang w:val="ru-RU"/>
        </w:rPr>
        <w:t xml:space="preserve"> «__» ____ № ___</w:t>
      </w:r>
    </w:p>
    <w:p w:rsidR="00053271" w:rsidRPr="00CD340F" w:rsidRDefault="00053271" w:rsidP="00053271">
      <w:pPr>
        <w:spacing w:after="0" w:line="240" w:lineRule="auto"/>
        <w:ind w:left="4536"/>
        <w:jc w:val="center"/>
        <w:rPr>
          <w:bCs/>
          <w:sz w:val="28"/>
          <w:szCs w:val="28"/>
          <w:bdr w:val="none" w:sz="0" w:space="0" w:color="auto" w:frame="1"/>
          <w:lang w:val="ru-RU"/>
        </w:rPr>
      </w:pPr>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және</w:t>
      </w:r>
      <w:proofErr w:type="spellEnd"/>
    </w:p>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Қазақстан</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Республикасы</w:t>
      </w:r>
      <w:proofErr w:type="spellEnd"/>
    </w:p>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Цифрлық</w:t>
      </w:r>
      <w:proofErr w:type="spellEnd"/>
      <w:r w:rsidRPr="00CD340F">
        <w:rPr>
          <w:bCs/>
          <w:sz w:val="28"/>
          <w:szCs w:val="28"/>
          <w:bdr w:val="none" w:sz="0" w:space="0" w:color="auto" w:frame="1"/>
          <w:lang w:val="ru-RU"/>
        </w:rPr>
        <w:t xml:space="preserve"> даму,</w:t>
      </w:r>
    </w:p>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инновациялар</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және</w:t>
      </w:r>
      <w:proofErr w:type="spellEnd"/>
    </w:p>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аэроғарыш</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өнеркәсібі</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министрінің</w:t>
      </w:r>
      <w:proofErr w:type="spellEnd"/>
    </w:p>
    <w:p w:rsidR="00053271" w:rsidRPr="00CD340F" w:rsidRDefault="00053271" w:rsidP="00053271">
      <w:pPr>
        <w:spacing w:after="0" w:line="240" w:lineRule="auto"/>
        <w:ind w:left="4536"/>
        <w:jc w:val="center"/>
        <w:rPr>
          <w:bCs/>
          <w:sz w:val="28"/>
          <w:szCs w:val="28"/>
          <w:bdr w:val="none" w:sz="0" w:space="0" w:color="auto" w:frame="1"/>
          <w:lang w:val="ru-RU"/>
        </w:rPr>
      </w:pPr>
      <w:r w:rsidRPr="00CD340F">
        <w:rPr>
          <w:bCs/>
          <w:sz w:val="28"/>
          <w:szCs w:val="28"/>
          <w:bdr w:val="none" w:sz="0" w:space="0" w:color="auto" w:frame="1"/>
          <w:lang w:val="ru-RU"/>
        </w:rPr>
        <w:t xml:space="preserve">2024 </w:t>
      </w:r>
      <w:proofErr w:type="spellStart"/>
      <w:r w:rsidRPr="00CD340F">
        <w:rPr>
          <w:bCs/>
          <w:sz w:val="28"/>
          <w:szCs w:val="28"/>
          <w:bdr w:val="none" w:sz="0" w:space="0" w:color="auto" w:frame="1"/>
          <w:lang w:val="ru-RU"/>
        </w:rPr>
        <w:t>жылғы</w:t>
      </w:r>
      <w:proofErr w:type="spellEnd"/>
      <w:r w:rsidRPr="00CD340F">
        <w:rPr>
          <w:bCs/>
          <w:sz w:val="28"/>
          <w:szCs w:val="28"/>
          <w:bdr w:val="none" w:sz="0" w:space="0" w:color="auto" w:frame="1"/>
          <w:lang w:val="ru-RU"/>
        </w:rPr>
        <w:t xml:space="preserve"> «__» ____ № ___</w:t>
      </w:r>
    </w:p>
    <w:p w:rsidR="00053271" w:rsidRPr="00CD340F" w:rsidRDefault="00053271" w:rsidP="00053271">
      <w:pPr>
        <w:spacing w:after="0" w:line="240" w:lineRule="auto"/>
        <w:ind w:left="4536"/>
        <w:jc w:val="center"/>
        <w:rPr>
          <w:bCs/>
          <w:sz w:val="28"/>
          <w:szCs w:val="28"/>
          <w:bdr w:val="none" w:sz="0" w:space="0" w:color="auto" w:frame="1"/>
          <w:lang w:val="ru-RU"/>
        </w:rPr>
      </w:pPr>
      <w:proofErr w:type="spellStart"/>
      <w:r w:rsidRPr="00CD340F">
        <w:rPr>
          <w:bCs/>
          <w:sz w:val="28"/>
          <w:szCs w:val="28"/>
          <w:bdr w:val="none" w:sz="0" w:space="0" w:color="auto" w:frame="1"/>
          <w:lang w:val="ru-RU"/>
        </w:rPr>
        <w:t>бірлескен</w:t>
      </w:r>
      <w:proofErr w:type="spellEnd"/>
      <w:r w:rsidRPr="00CD340F">
        <w:rPr>
          <w:bCs/>
          <w:sz w:val="28"/>
          <w:szCs w:val="28"/>
          <w:bdr w:val="none" w:sz="0" w:space="0" w:color="auto" w:frame="1"/>
          <w:lang w:val="ru-RU"/>
        </w:rPr>
        <w:t xml:space="preserve"> </w:t>
      </w:r>
      <w:proofErr w:type="spellStart"/>
      <w:r w:rsidRPr="00CD340F">
        <w:rPr>
          <w:bCs/>
          <w:sz w:val="28"/>
          <w:szCs w:val="28"/>
          <w:bdr w:val="none" w:sz="0" w:space="0" w:color="auto" w:frame="1"/>
          <w:lang w:val="ru-RU"/>
        </w:rPr>
        <w:t>бұйрығымен</w:t>
      </w:r>
      <w:proofErr w:type="spellEnd"/>
    </w:p>
    <w:p w:rsidR="00053271" w:rsidRPr="00CD340F" w:rsidRDefault="00053271" w:rsidP="00053271">
      <w:pPr>
        <w:spacing w:after="0" w:line="240" w:lineRule="auto"/>
        <w:ind w:left="4536"/>
        <w:jc w:val="center"/>
        <w:rPr>
          <w:b/>
          <w:bCs/>
          <w:sz w:val="28"/>
          <w:szCs w:val="28"/>
          <w:bdr w:val="none" w:sz="0" w:space="0" w:color="auto" w:frame="1"/>
          <w:lang w:val="ru-RU"/>
        </w:rPr>
      </w:pPr>
      <w:proofErr w:type="spellStart"/>
      <w:r w:rsidRPr="00CD340F">
        <w:rPr>
          <w:bCs/>
          <w:sz w:val="28"/>
          <w:szCs w:val="28"/>
          <w:bdr w:val="none" w:sz="0" w:space="0" w:color="auto" w:frame="1"/>
          <w:lang w:val="ru-RU"/>
        </w:rPr>
        <w:t>бекітілген</w:t>
      </w:r>
      <w:proofErr w:type="spellEnd"/>
    </w:p>
    <w:p w:rsidR="00053271" w:rsidRPr="00CD340F" w:rsidRDefault="00053271" w:rsidP="00053271">
      <w:pPr>
        <w:spacing w:after="0" w:line="240" w:lineRule="auto"/>
        <w:rPr>
          <w:lang w:val="ru-RU"/>
        </w:rPr>
      </w:pP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jc w:val="center"/>
        <w:rPr>
          <w:b/>
          <w:sz w:val="28"/>
          <w:szCs w:val="28"/>
          <w:lang w:val="kk-KZ"/>
        </w:rPr>
      </w:pPr>
      <w:r w:rsidRPr="00CD340F">
        <w:rPr>
          <w:b/>
          <w:sz w:val="28"/>
          <w:szCs w:val="28"/>
          <w:lang w:val="kk-KZ"/>
        </w:rPr>
        <w:t>«Бюджеттен қосылған құн салығын қайтару» («Цифрлық ҚҚС</w:t>
      </w:r>
      <w:r w:rsidRPr="00CD340F">
        <w:rPr>
          <w:b/>
          <w:bCs/>
          <w:sz w:val="28"/>
          <w:szCs w:val="28"/>
          <w:bdr w:val="none" w:sz="0" w:space="0" w:color="auto" w:frame="1"/>
          <w:lang w:val="kk-KZ"/>
        </w:rPr>
        <w:t>»</w:t>
      </w:r>
      <w:r w:rsidRPr="00CD340F">
        <w:rPr>
          <w:b/>
          <w:sz w:val="28"/>
          <w:szCs w:val="28"/>
          <w:lang w:val="kk-KZ"/>
        </w:rPr>
        <w:t>) мемлекеттік қызмет көрсетуді жаңғырту және жетілдіру жөніндегі пилоттық жобаны іске асыру қағидалары мен мерзімдері</w:t>
      </w: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jc w:val="center"/>
        <w:rPr>
          <w:b/>
          <w:sz w:val="28"/>
          <w:szCs w:val="28"/>
          <w:lang w:val="kk-KZ"/>
        </w:rPr>
      </w:pPr>
      <w:r w:rsidRPr="00CD340F">
        <w:rPr>
          <w:b/>
          <w:sz w:val="28"/>
          <w:szCs w:val="28"/>
          <w:lang w:val="kk-KZ"/>
        </w:rPr>
        <w:t>1-тарау. Жалпы ережелер</w:t>
      </w: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 Осы «Бюджеттен қосылған құн салығын қайтару» («Цифрлық ҚҚС») мемлекеттік қызмет көрсетуді жаңғырту және жетілдіру жөніндегі пилоттық жобаны іске асыру қағидалары мен мерзімдері (бұдан әрі – Қағидалар) «Салық және бюджетке төленетін басқа да міндетті төлемдер туралы» (Салық кодексі) Қазақстан Республикасы Кодексінің 68-бабы 1-1-тармағына және «Мемлекеттік көрсетілетін қызметтер туралы» Қазақстан Республикасы Заңының 22-бабы сәйкес, цифрлық теңгені пайдалана отырып, қосылған құн салығының (бұдан әрі – ҚҚС) асып кетуін қайтаруды жаңғырту және жетілдіру мақсатында әзірленді.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2. Осы Қағидаларда мынадай негізгі ұғымдар мен қысқартулар пайдаланылады: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 электрондық ақша (цифрлық теңге) – Қазақстан Республикасының Ұлттық Банкі (бұдан әрі – ҰБ) шығарған, Цифрлық теңге жүйесінде электрондық нысанда сақталатын, Цифрлық теңге жүйесінде (бұдан әрі – цифрлық теңге) төлем құралы ретінде қабылданатын электрондық ақша;</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2) цифрлық теңгенің Бірыңғай қазынашылық шоты – Қазақстан Республикасының Ұлттық Банкі шығарған цифрлық теңгені есепке алу үшін Қазақстан Республикасы Қаржы министрлігінің Қазынашылық комитетінің цифрлық теңге жүйесіндегі позициясы (бұдан әрі – цифрлық теңгенің БҚШ);</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 xml:space="preserve">3) таңбалау – эмиссияланатын цифрлық теңгені қамтамасыз ету ретінде әрекет ететін қаражат иесінің не қаражатты пайдалануға жауапты адамның өкіміне сәйкес цифрлық теңге жүйесінде цифрлық теңгені айналысқа </w:t>
      </w:r>
      <w:r w:rsidRPr="00CD340F">
        <w:rPr>
          <w:sz w:val="28"/>
          <w:szCs w:val="28"/>
          <w:lang w:val="kk-KZ"/>
        </w:rPr>
        <w:lastRenderedPageBreak/>
        <w:t>салу/пайдалану қағидаларын, шарттары мен өлшемшарттарын белгілей отырып, Цифрлық теңгені бағдарламалау процесі;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4) цифрлық шот – ҰБ шығарған электрондық ақшаны (цифрлық теңге) есепке алу үшін цифрлық теңге жүйесіндегі салық төлеушінің позициясы;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5) ҚР ҚМ МКК цифрлық шоты – ҰБ шығарған цифрлық теңгені есепке алу үшін цифрлық теңге жүйесіндегі пилот шеңберінде салық міндеттемелері бойынша салық төлеушілерден бюджетке аударымдар алу үшін пайдаланылатын Қазақстан Республикасының Қаржы министрлігі Мемлекеттік кірістер комитетінің (бұдан әрі – ҚР ҚМ МКК) позициясы;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6) цифрлық теңге жүйесінің операторы – «Қазақстан Республикасы Ұлттық Банкінің ұлттық төлем корпорациясы» акционерлік қоғамы (бұдан әрі – «ҰТК» АҚ);</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7) электрондық ақша жүйесі (бұдан әрі – Цифрлық теңге жүйесі) – ҰБ шығарған электрондық ақшаны (цифрлық теңгені) пайдалана отырып, Қазақстан Республикасының аумағында төлемдер мен өзге де операцияларды жүзеге асыруға арналған бағдарламалық-техникалық құралдар жиынтығы.</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center"/>
        <w:rPr>
          <w:b/>
          <w:sz w:val="28"/>
          <w:szCs w:val="28"/>
          <w:lang w:val="kk-KZ"/>
        </w:rPr>
      </w:pPr>
      <w:r w:rsidRPr="00CD340F">
        <w:rPr>
          <w:b/>
          <w:sz w:val="28"/>
          <w:szCs w:val="28"/>
          <w:lang w:val="kk-KZ"/>
        </w:rPr>
        <w:t>2-тарау. Пилоттық жобаға қатысушылар</w:t>
      </w: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ind w:firstLine="708"/>
        <w:rPr>
          <w:sz w:val="28"/>
          <w:szCs w:val="28"/>
          <w:lang w:val="kk-KZ"/>
        </w:rPr>
      </w:pPr>
      <w:r w:rsidRPr="00CD340F">
        <w:rPr>
          <w:sz w:val="28"/>
          <w:szCs w:val="28"/>
          <w:lang w:val="kk-KZ"/>
        </w:rPr>
        <w:t>3. Пилоттық жобаның қатысушылары: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 МКК;</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2) облыстар, республикалық маңызы бар қалалар және астана бойынша мемлекеттік кірістер органы;</w:t>
      </w:r>
    </w:p>
    <w:p w:rsidR="00053271" w:rsidRPr="00CD340F" w:rsidRDefault="00053271" w:rsidP="00053271">
      <w:pPr>
        <w:spacing w:after="0" w:line="240" w:lineRule="auto"/>
        <w:ind w:left="708"/>
        <w:jc w:val="both"/>
        <w:rPr>
          <w:sz w:val="28"/>
          <w:szCs w:val="28"/>
          <w:lang w:val="kk-KZ"/>
        </w:rPr>
      </w:pPr>
      <w:r w:rsidRPr="00CD340F">
        <w:rPr>
          <w:sz w:val="28"/>
          <w:szCs w:val="28"/>
          <w:lang w:val="kk-KZ"/>
        </w:rPr>
        <w:t>3) пилоттық жобаға ерікті түрде қатысатын ҚҚС төлеушілер (бұдан әрі – салық төлеушілер-пилоттық жобаға қатысушылар):</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осы Қағидалардың 12-тармағында көрсетілген;</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осы Қағидалардың 12-тармағында көрсетілген тұлғалардың тікелей өнім берушілері, сондай-ақ есепті кезеңнің қорытындылары бойынша бюджетке ҚҚС төлеу бойынша салық міндеттемелері бар кейінгі деңгейдегі өнім берушілер;</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4) ҰБ;</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5) «ҰТК» АҚ;</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6) пилоттық жобаға ерікті түрде қатысатын екінші деңгейдегі банктер (бұдан әрі – ЕДБ);</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7) Қазақстан Республикасы Қаржы министрлігінің Қазынашылық комитеті (бұдан әрі – ҚК);</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8) есепке алу бухгалтерлік жүйелерін әзірлеумен айналысатын және пилоттық жобаға өз еркімен қатысатын заңды тұлғалар.</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both"/>
        <w:rPr>
          <w:sz w:val="28"/>
          <w:szCs w:val="28"/>
          <w:lang w:val="kk-KZ"/>
        </w:rPr>
      </w:pPr>
    </w:p>
    <w:p w:rsidR="00053271" w:rsidRDefault="00053271" w:rsidP="00053271">
      <w:pPr>
        <w:spacing w:after="0" w:line="240" w:lineRule="auto"/>
        <w:ind w:firstLine="708"/>
        <w:jc w:val="center"/>
        <w:rPr>
          <w:b/>
          <w:sz w:val="28"/>
          <w:szCs w:val="28"/>
          <w:lang w:val="kk-KZ"/>
        </w:rPr>
      </w:pPr>
    </w:p>
    <w:p w:rsidR="00053271" w:rsidRPr="00CD340F" w:rsidRDefault="00053271" w:rsidP="00053271">
      <w:pPr>
        <w:spacing w:after="0" w:line="240" w:lineRule="auto"/>
        <w:ind w:firstLine="708"/>
        <w:jc w:val="center"/>
        <w:rPr>
          <w:b/>
          <w:sz w:val="28"/>
          <w:szCs w:val="28"/>
          <w:lang w:val="kk-KZ"/>
        </w:rPr>
      </w:pPr>
      <w:r w:rsidRPr="00CD340F">
        <w:rPr>
          <w:b/>
          <w:sz w:val="28"/>
          <w:szCs w:val="28"/>
          <w:lang w:val="kk-KZ"/>
        </w:rPr>
        <w:lastRenderedPageBreak/>
        <w:t>3-тарау. Пилоттық жобаға қатысушылардың құқықтары мен міндеттері</w:t>
      </w:r>
    </w:p>
    <w:p w:rsidR="00053271" w:rsidRPr="00CD340F" w:rsidRDefault="00053271" w:rsidP="00053271">
      <w:pPr>
        <w:spacing w:after="0" w:line="240" w:lineRule="auto"/>
        <w:ind w:firstLine="708"/>
        <w:jc w:val="both"/>
        <w:rPr>
          <w:b/>
          <w:sz w:val="28"/>
          <w:szCs w:val="28"/>
          <w:lang w:val="kk-KZ"/>
        </w:rPr>
      </w:pPr>
    </w:p>
    <w:p w:rsidR="00053271" w:rsidRPr="00CD340F" w:rsidRDefault="00053271" w:rsidP="00053271">
      <w:pPr>
        <w:spacing w:after="0" w:line="240" w:lineRule="auto"/>
        <w:ind w:firstLine="708"/>
        <w:jc w:val="both"/>
        <w:rPr>
          <w:sz w:val="28"/>
          <w:szCs w:val="28"/>
          <w:lang w:val="kk-KZ"/>
        </w:rPr>
      </w:pPr>
      <w:r w:rsidRPr="00CD340F">
        <w:rPr>
          <w:sz w:val="28"/>
          <w:szCs w:val="28"/>
          <w:lang w:val="kk-KZ"/>
        </w:rPr>
        <w:t>4. Пилоттық жобаны іске асыру шеңберінде:</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 xml:space="preserve">1) ҰБ ЕДБ және ҚК өтінімдері бойынша қалыптастырылған «ҰТК» </w:t>
      </w:r>
      <w:r>
        <w:rPr>
          <w:sz w:val="28"/>
          <w:szCs w:val="28"/>
          <w:lang w:val="kk-KZ"/>
        </w:rPr>
        <w:t xml:space="preserve">                   </w:t>
      </w:r>
      <w:r w:rsidRPr="00CD340F">
        <w:rPr>
          <w:sz w:val="28"/>
          <w:szCs w:val="28"/>
          <w:lang w:val="kk-KZ"/>
        </w:rPr>
        <w:t>АҚ-ның цифрлық теңгені және төлем хабарламаларын эмиссиялауға/өтеуге арналған «ҰТК» АҚ-ның тиісті өтініштері/тізілімі негізінде Цифрлық теңгені эмиссиялауды және өтеуді жүзеге асырады;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2) «ҰТК» АҚ:</w:t>
      </w:r>
    </w:p>
    <w:p w:rsidR="00053271" w:rsidRPr="00CD340F" w:rsidRDefault="00053271" w:rsidP="00053271">
      <w:pPr>
        <w:spacing w:after="0" w:line="240" w:lineRule="auto"/>
        <w:jc w:val="both"/>
        <w:rPr>
          <w:sz w:val="28"/>
          <w:szCs w:val="28"/>
          <w:lang w:val="kk-KZ"/>
        </w:rPr>
      </w:pPr>
      <w:r w:rsidRPr="00CD340F">
        <w:rPr>
          <w:sz w:val="28"/>
          <w:szCs w:val="28"/>
          <w:lang w:val="kk-KZ"/>
        </w:rPr>
        <w:t>Цифрлық теңге жүйесінің жұмыс істеу қағидаларына сәйкес Жүйе Операторының функцияларын орындау шеңберінде Жүйенің жұмыс істеуін қамтамасыз етеді;</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 xml:space="preserve">пилоттық жобаға қатысатын ЕДБ және ҚР ҚМ ҚК Жүйемен өзара </w:t>
      </w:r>
      <w:r>
        <w:rPr>
          <w:sz w:val="28"/>
          <w:szCs w:val="28"/>
          <w:lang w:val="kk-KZ"/>
        </w:rPr>
        <w:t xml:space="preserve">                         </w:t>
      </w:r>
      <w:bookmarkStart w:id="0" w:name="_GoBack"/>
      <w:bookmarkEnd w:id="0"/>
      <w:r w:rsidRPr="00CD340F">
        <w:rPr>
          <w:sz w:val="28"/>
          <w:szCs w:val="28"/>
          <w:lang w:val="kk-KZ"/>
        </w:rPr>
        <w:t>іс-қимылға қатысты түсіндірмелер береді;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3) салық төлеуші – пилоттық жобаға қатысушы: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ЕДБ арқылы Жүйеде цифрлық шот ашады;</w:t>
      </w:r>
    </w:p>
    <w:p w:rsidR="00053271" w:rsidRPr="00CD340F" w:rsidRDefault="00053271" w:rsidP="00053271">
      <w:pPr>
        <w:spacing w:after="0" w:line="240" w:lineRule="auto"/>
        <w:jc w:val="both"/>
        <w:rPr>
          <w:sz w:val="28"/>
          <w:szCs w:val="28"/>
          <w:lang w:val="kk-KZ"/>
        </w:rPr>
      </w:pPr>
      <w:r w:rsidRPr="00CD340F">
        <w:rPr>
          <w:sz w:val="28"/>
          <w:szCs w:val="28"/>
          <w:lang w:val="kk-KZ"/>
        </w:rPr>
        <w:t>цифрлық теңгені пайдалана отырып, өнім берушілермен есеп айырысуды жүргізеді;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цифрлық теңгені пайдалана отырып, бюджетке ҚҚС төлеу бойынша міндеттемелерді орындайды;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ҚҚС бойынша декларацияда көрсетілген ҚҚС асып кетуін қайтару туралы талап ұсынады;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4) ЕДБ:</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Жүйеде пилоттық жобаға қатысушы-салық төлеушінің цифрлық шотын ашады;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Цифрлық теңге жүйесінің жұмыс істеу қағидаларына сәйкес цифрлық теңге Жүйесінің Операторына сұрау салу жолдау арқылы Жүйеде пилоттық жобаға қатысушы-салық төлеушінің цифрлық шотын пайдалана отырып, цифрлық теңгемен қабылдауды, аударымдарды және төлемдерді жүзеге асырады; ҚҚС бойынша салық міндеттемелері бойынша клиенттен бюджетке цифрлық теңгемен аударымдарды жүзеге асырады;</w:t>
      </w:r>
    </w:p>
    <w:p w:rsidR="00053271" w:rsidRPr="00CD340F" w:rsidRDefault="00053271" w:rsidP="00053271">
      <w:pPr>
        <w:spacing w:after="0" w:line="240" w:lineRule="auto"/>
        <w:ind w:left="708"/>
        <w:jc w:val="both"/>
        <w:rPr>
          <w:sz w:val="28"/>
          <w:szCs w:val="28"/>
          <w:lang w:val="kk-KZ"/>
        </w:rPr>
      </w:pPr>
      <w:r w:rsidRPr="00CD340F">
        <w:rPr>
          <w:sz w:val="28"/>
          <w:szCs w:val="28"/>
          <w:lang w:val="kk-KZ"/>
        </w:rPr>
        <w:t>пилоттық жобаға қатысушы-салық төлеушілер мен бюджетке төленетін төлемдер арасындағы транзакцияны жүргізеді, қол қояды және валидациялауды жүзеге асырады;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цифрлық теңгені таңбалайды;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клиенттің қолтаңбаларын тексереді;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цифрлық теңге транзакциясының тарихын сақтайды;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5) ҚК пилоттық жобаға қатысушы-салық төлеушілердің ҚҚС бойынша бюджетке төлемдерді қамтамасыз ету үшін МКК цифрлық шотын ашады;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6) мемлекеттік кірістер органдары: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осы пилоттық жобаны жүргізуге байланысты мәселелер бойынша түсіндірмелер береді;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lastRenderedPageBreak/>
        <w:t>пилоттық жобаны іске асыруға байланысты мемлекеттік кірістер органдарының ақпараттық жүйелерінен мәліметтерді Жүйеге береді;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пилоттық жобаға қатысушы-салық төлеушілер арасында жүргізілген төлемдер мен олардың Жүйеден алынған бюджетке төленетін төлемдерінің деректерін өңдейді;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пилоттық жобаны іске асыру шеңберінде ҚҚС асып кеткен соманы қайтаруды растайды және жүзеге асырады.</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ind w:firstLine="708"/>
        <w:jc w:val="center"/>
        <w:rPr>
          <w:b/>
          <w:sz w:val="28"/>
          <w:szCs w:val="28"/>
          <w:lang w:val="kk-KZ"/>
        </w:rPr>
      </w:pPr>
      <w:r w:rsidRPr="00CD340F">
        <w:rPr>
          <w:b/>
          <w:sz w:val="28"/>
          <w:szCs w:val="28"/>
          <w:lang w:val="kk-KZ"/>
        </w:rPr>
        <w:t>4-тарау. Пилоттық жобаны іске асыру тәртібі мен мерзімдері</w:t>
      </w:r>
    </w:p>
    <w:p w:rsidR="00053271" w:rsidRPr="00CD340F" w:rsidRDefault="00053271" w:rsidP="00053271">
      <w:pPr>
        <w:spacing w:after="0" w:line="240" w:lineRule="auto"/>
        <w:ind w:firstLine="708"/>
        <w:jc w:val="both"/>
        <w:rPr>
          <w:sz w:val="28"/>
          <w:szCs w:val="28"/>
          <w:lang w:val="kk-KZ"/>
        </w:rPr>
      </w:pPr>
    </w:p>
    <w:p w:rsidR="00053271" w:rsidRPr="00CD340F" w:rsidRDefault="00053271" w:rsidP="00053271">
      <w:pPr>
        <w:spacing w:after="0" w:line="240" w:lineRule="auto"/>
        <w:ind w:firstLine="708"/>
        <w:jc w:val="both"/>
        <w:rPr>
          <w:sz w:val="28"/>
          <w:szCs w:val="28"/>
          <w:lang w:val="kk-KZ"/>
        </w:rPr>
      </w:pPr>
      <w:r w:rsidRPr="00CD340F">
        <w:rPr>
          <w:sz w:val="28"/>
          <w:szCs w:val="28"/>
          <w:lang w:val="kk-KZ"/>
        </w:rPr>
        <w:t>5. Салық төлеушінің осы пилоттық жобаға қатысуына келісім Қағидалардың 10-тармағында көрсетілген рәсімге сәйкес цифрлық теңгемен төлемді растау болып табылады.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 xml:space="preserve">ЕДБ Жүйеде пилоттық жобаға қатысушы-салық төлеушіге цифрлық шот ашуы осы пилоттық жоба шеңберінде осы Қағидалардың 3-тармағының 1), 3), 4), 5) және 6) тармақшасында көрсетілген пилоттық жобаға қатысушылар арасында пайдаланылатын деректерді (мәліметтерді) беруге (алмасуға) келісуі болып табылады. </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6. Салық төлеуші Қағидалардың 10-тармағында көрсетілген рәсімге сәйкес цифрлық теңгемен төлемді растау сәтінен бастап пилоттық жобаның қатысушысы болады.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7. Пилоттық жобаға қатысушы-салық төлеуші Жүйеде цифрлық шотты толықтыру үшін ағымдағы банктік шоттағы ақша қаражаты есебінен цифрлық теңгені сатып алады.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Пилоттық жобаға қатысушы-салық төлеушілер арасында сатып алынған тауарлар бойынша есеп айырысулар Жүйеде цифрлық шоттарды пайдалану жолымен жүзеге асырылады.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8. Пилоттық жобаға қатысушы-салық төлеуші өзінің цифрлық шотынан тауарларды жеткізушінің цифрлық шотына ақша аудару үшін төлем құжатында тиісті ЭШФ тіркеу нөмірін көрсетеді. Бұл ретте пилоттық жобаға қатысушы-салық төлеуші бухгалтерлік жүйеде немесе ЕДБ қашықтықтан банктік қызмет көрсету арналарының интерфейстері арқылы төлем құжаттарын автоматты түрде қалыптастыруды қамтамасыз етеді.</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ЭШФ тіркеу нөмірі көрсетілген төлемді жүргізу кезінде төлемнің бір бөлігіне (ЭШФ-дағы ҚҚС сомасына) оларды жұмсауға шектеу белгілейтін цифрлық теңгені таңбалау жүргізіледі: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105101, 105102, 105104, 105115 бюджеттік сыныптама кодына (бұдан әрі – БСК) бюджетке ҚҚС төлеу;</w:t>
      </w:r>
      <w:r w:rsidRPr="00CD340F">
        <w:rPr>
          <w:sz w:val="28"/>
          <w:szCs w:val="28"/>
          <w:lang w:val="kk-KZ"/>
        </w:rPr>
        <w:tab/>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басқа ҚҚС төлеушіге ЭШФ-мен байланыстыра отырып, төлемде ҚҚС төлеу.</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lastRenderedPageBreak/>
        <w:t>105102 БСК-ге өзінің цифрлық шотынан бюджетке ақша аудару үшін төлем құжатында пилоттық жобаға қатысушы-салық төлеуші тауарларға арналған декларацияның нөмірін, 105104 БСК-ге – ЭШФ тіркеу нөмірін, 105115 БСК-ге  –импортқа арналған тауарларға ілеспе жүкқұжаттың тіркеу нөмірін немесе тауарларды әкелу туралы өтініштің нөмірі мен күнін көрсетеді.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Бюджетке ҚҚС аудару ЕДБ клиентінің өкімі бойынша МКК цифрлық шотына жүзеге асырылады.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МКК, МКК цифрлық шотынан Цифрлық теңгенің БҚШ цифрлық теңгеде ҚҚС сомасын аударуға өтінім жолдайды.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ҚК МКК-нің өтінімі негізінде цифрлық теңгені өтеуге өтінім жолдайды.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ҰБ өтелген цифрлық теңге сомасын Цифрлық теңгенің БҚШ-ға  есепке жатқызады, сондай-ақ «ҰТК» АҚ байланыс арнасы бойынша «ҰТК» АҚ форматына сәйкес үзінді көшірмені жолдайды.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Пилоттық жобада цифрлық теңгені таңбалауға пилоттық жобаға қатысушы-салық төлеушінің келісімі ЭШФ-ға байланысты төлемді растау болып табылады.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9. Жүйе пилоттық жобаға қатысушы-салық төлеушінің төлем құжатын алған кезде оның төлемді тиісті ЭШФ-ға байланыстырудың дұрыстығына тексеруді жүзеге асырады.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Тексеруден өтудің оң нәтижесі болған жағдайда «төлем құжаты расталды» мәртебесі бар хабарлама-жауап қалыптастырылады және ЕДБ-ға жолданады.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Тексеруден өтудің теріс нәтижесі болған жағдайда «төлем құжаты расталмады» мәртебесі бар хабарлама-жауап қалыптастырылады және ЕДБ-ға жолданады.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10. ЕДБ төлем құжатын алады және оны пилоттық жобаға қатысушы- салық төлеушінің цифрлық шотынан пилоттық жобаға қатысушы тауарларды беруші салық төлеушінің цифрлық шотына цифрлық теңге аудару жолымен орындайды.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«Төлем құжаты расталмады» мәртебесі болған жағдайда осы мәртебе бойынша пилоттық жобаға қатысушы-салық төлеушіге хабарлама жолданады.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11. Пилоттық жобаға қатысушы-салық төлеуші өз қалауы бойынша таңбаланбаған цифрлық теңгені ЕДБ-дегі өзінің ағымдағы шотына айырбастайды.</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center"/>
        <w:rPr>
          <w:b/>
          <w:sz w:val="28"/>
          <w:szCs w:val="28"/>
          <w:lang w:val="kk-KZ"/>
        </w:rPr>
      </w:pPr>
      <w:r w:rsidRPr="00CD340F">
        <w:rPr>
          <w:b/>
          <w:sz w:val="28"/>
          <w:szCs w:val="28"/>
          <w:lang w:val="kk-KZ"/>
        </w:rPr>
        <w:t>5-тарау. ҚҚС асып кеткен соманы қайтару тәртібі</w:t>
      </w:r>
    </w:p>
    <w:p w:rsidR="00053271" w:rsidRPr="00CD340F" w:rsidRDefault="00053271" w:rsidP="00053271">
      <w:pPr>
        <w:spacing w:after="0" w:line="240" w:lineRule="auto"/>
        <w:jc w:val="center"/>
        <w:rPr>
          <w:b/>
          <w:sz w:val="28"/>
          <w:szCs w:val="28"/>
          <w:lang w:val="kk-KZ"/>
        </w:rPr>
      </w:pP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12. Осы Қағидаларда белгіленген тәртіппен ҚҚС асып кеткен соманы қайтаруға мынадай:</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 экспортқа тауарларды өткізетін;</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lastRenderedPageBreak/>
        <w:t>2) халықаралық ұшуларды, халықаралық әуе тасымалдарын орындайтын шетелдік авиакомпанияларға әуе кемелеріне май құю үшін жанар-жағармай материалдарын өткізетін;</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3) салық төлеуші дербес өндірген немесе қайта өңдеу мақсатында меншікке сатып алған шикізаттан өндірілген тазартылған алтынды ҰБ өткізетін пилоттық жобаға қатысушы-салық төлеушілердің құқығы бар.</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13. ҚҚС асып кеткен соманы қайтару салық кезеңі үшін ҚҚС бойынша декларацияда көрсетілген ҚҚС асып кеткен соманы қайтару туралы талап негізінде салықтық тексеру жүргізілмей он бес жұмыс күні ішінде жүргізіледі.</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Бұл ретте ҚҚС асып кеткен соманы қайтару мерзімі ішінде ҚР Салық кодексінің 424-бабы 1-тармағына сәйкес ҚҚС бойынша декларацияны ұсыну үшін белгіленген мерзімнен күнтізбелік отыз күн өткеннен кейін басталады.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 xml:space="preserve">14. ҚҚС асып кету сомасын қайтару осы Қағидалардың 12-тармағында көрсетілген пилоттық жобаға қатысушы-салық төлеушілерге олардың тікелей өнім берушілерінен сатып алынған (алынған) тауарлар бойынша қалыптасқан ҚҚС асып кету сомасы, Жүйеде цифрлық шоттарды пайдалана отырып жүргізілген және нөлдік мөлшерлеме бойынша салық салынатын айналымдар мақсатында пайдаланылған, сондай-ақ, тікелей жеткізушілер ҚҚС бойынша декларацияны ұсыну бойынша салық міндеттемелерін орындаған жағдайда ҚҚС сомасын есептеу бөлігінде жүзеге асырылады. </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15. Қайтаруға ұсынылған ҚҚС асып кету сомасының анықтығын растау мемлекеттік кірістер органдары мен ҰБ ақпараттық жүйелерінде бар деректер негізінде жүргізіледі.</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Камералдық бақылау нәтижелері бойынша қорытынды жасалады, онда қайтаруға ҚҚС-тың расталған сомасы және расталмаған ҚҚС сомасының қалдығы көрсетіледі.</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Қорытынды екі данада жасалады және оған мемлекеттік кірістер органының лауазымды адамдары қол қояды. Қорытындының бір данасы осы Қағидалардың 12- тармағында көрсетілген пилоттық жобаға қатысушы-салық төлеушіге ол жасалғаннан кейін 1 (бір) жұмыс күнінен кешіктірілмей табыс етіледі, ол қорытындыны алғаны туралы екінші данаға белгі қояды.</w:t>
      </w:r>
    </w:p>
    <w:p w:rsidR="00053271" w:rsidRPr="00CD340F" w:rsidRDefault="00053271" w:rsidP="00053271">
      <w:pPr>
        <w:spacing w:after="0" w:line="240" w:lineRule="auto"/>
        <w:ind w:firstLine="709"/>
        <w:jc w:val="both"/>
        <w:rPr>
          <w:sz w:val="28"/>
          <w:szCs w:val="28"/>
          <w:lang w:val="kk-KZ"/>
        </w:rPr>
      </w:pPr>
      <w:r w:rsidRPr="00CD340F">
        <w:rPr>
          <w:sz w:val="28"/>
          <w:szCs w:val="28"/>
          <w:lang w:val="kk-KZ"/>
        </w:rPr>
        <w:t>Осы Қағидалардың 12-тармағында көрсетілген пилоттық жобаға қатысушы-салық төлеуші келмеген жағдайда, қорытындының бір данасы оған хабарламасы бар тапсырыс хатпен пошта арқылы жолданады.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Бұл ретте ҚҚС асып кеткен соманы қайтару Салық кодексінің 104-бабына сәйкес пилоттық жобаға қатысушы-салық төлеушіге оның ұлттық валюта – теңгедегі банк шотына жүйені пайдаланбай ақша аударымдарының банкаралық жүйесі арқылы жүзеге асырылады.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Пилоттық жобаға қатысушы-салық төлеушіге ҚҚС асып кету сомасының анықтығы расталмаған жағдайда, ҚҚС асып кетуін қайтару құқығының жоқтығы туралы және олардың Салық кодексінің 429, 431 және 432-бабында көзделген ҚҚС асып кетуін қайтару тәртібін қолдану құқығы туралы хат жолданады.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lastRenderedPageBreak/>
        <w:t>Осы Қағидаларда көзделген қорытынды шағымдануға жатпайды.</w:t>
      </w: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16. Осы тараудың ережелері Салық кодексінің 434-бабына сәйкес пилоттық жобаға қатысушы-салық төлеушілерге ҚҚС асып кетуін қайтару кезінде қолданылмайды.</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jc w:val="center"/>
        <w:rPr>
          <w:b/>
          <w:sz w:val="28"/>
          <w:szCs w:val="28"/>
          <w:lang w:val="kk-KZ"/>
        </w:rPr>
      </w:pPr>
      <w:r w:rsidRPr="00CD340F">
        <w:rPr>
          <w:b/>
          <w:sz w:val="28"/>
          <w:szCs w:val="28"/>
          <w:lang w:val="kk-KZ"/>
        </w:rPr>
        <w:t>6-тарау. Қорытынды ережелер</w:t>
      </w:r>
    </w:p>
    <w:p w:rsidR="00053271" w:rsidRPr="00CD340F" w:rsidRDefault="00053271" w:rsidP="00053271">
      <w:pPr>
        <w:spacing w:after="0" w:line="240" w:lineRule="auto"/>
        <w:jc w:val="both"/>
        <w:rPr>
          <w:sz w:val="28"/>
          <w:szCs w:val="28"/>
          <w:lang w:val="kk-KZ"/>
        </w:rPr>
      </w:pPr>
    </w:p>
    <w:p w:rsidR="00053271" w:rsidRPr="00CD340F" w:rsidRDefault="00053271" w:rsidP="00053271">
      <w:pPr>
        <w:spacing w:after="0" w:line="240" w:lineRule="auto"/>
        <w:ind w:firstLine="708"/>
        <w:jc w:val="both"/>
        <w:rPr>
          <w:sz w:val="28"/>
          <w:szCs w:val="28"/>
          <w:lang w:val="kk-KZ"/>
        </w:rPr>
      </w:pPr>
      <w:r w:rsidRPr="00CD340F">
        <w:rPr>
          <w:sz w:val="28"/>
          <w:szCs w:val="28"/>
          <w:lang w:val="kk-KZ"/>
        </w:rPr>
        <w:t>17. Пилоттық жоба барысында туындайтын мәселелерді пилоттық жоба мәселелері жөніндегі Жұмыс тобы қарайды, оның қызметін ұйымдастыру мен тәртібін МКК бекітеді.</w:t>
      </w:r>
    </w:p>
    <w:p w:rsidR="00053271" w:rsidRPr="00F704A0" w:rsidRDefault="00053271" w:rsidP="00053271">
      <w:pPr>
        <w:spacing w:after="0" w:line="240" w:lineRule="auto"/>
        <w:ind w:firstLine="708"/>
        <w:jc w:val="both"/>
        <w:rPr>
          <w:sz w:val="28"/>
          <w:szCs w:val="28"/>
          <w:lang w:val="kk-KZ"/>
        </w:rPr>
      </w:pPr>
      <w:r w:rsidRPr="00F704A0">
        <w:rPr>
          <w:sz w:val="28"/>
          <w:szCs w:val="28"/>
          <w:lang w:val="kk-KZ"/>
        </w:rPr>
        <w:t>Жұмыс тобы отырысының нәтижелері пилоттық жобаның мүдделі қатысушылары үшін міндетті хаттамамен ресімделеді.</w:t>
      </w:r>
    </w:p>
    <w:p w:rsidR="00053271" w:rsidRPr="00F704A0" w:rsidRDefault="00053271" w:rsidP="00053271">
      <w:pPr>
        <w:rPr>
          <w:sz w:val="28"/>
          <w:szCs w:val="28"/>
          <w:lang w:val="kk-KZ"/>
        </w:rPr>
      </w:pPr>
    </w:p>
    <w:p w:rsidR="00053271" w:rsidRPr="00F704A0" w:rsidRDefault="00053271" w:rsidP="00053271">
      <w:pPr>
        <w:rPr>
          <w:sz w:val="28"/>
          <w:szCs w:val="28"/>
          <w:lang w:val="kk-KZ"/>
        </w:rPr>
      </w:pPr>
    </w:p>
    <w:p w:rsidR="00053271" w:rsidRPr="00F704A0" w:rsidRDefault="00053271" w:rsidP="00053271">
      <w:pPr>
        <w:rPr>
          <w:sz w:val="28"/>
          <w:szCs w:val="28"/>
          <w:lang w:val="kk-KZ"/>
        </w:rPr>
      </w:pPr>
    </w:p>
    <w:p w:rsidR="005B0D83" w:rsidRPr="00053271" w:rsidRDefault="005B0D83">
      <w:pPr>
        <w:rPr>
          <w:lang w:val="kk-KZ"/>
        </w:rPr>
      </w:pPr>
    </w:p>
    <w:sectPr w:rsidR="005B0D83" w:rsidRPr="00053271" w:rsidSect="00053271">
      <w:headerReference w:type="default" r:id="rId6"/>
      <w:pgSz w:w="11906" w:h="16838"/>
      <w:pgMar w:top="1418" w:right="851"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870" w:rsidRDefault="008D6870" w:rsidP="00053271">
      <w:pPr>
        <w:spacing w:after="0" w:line="240" w:lineRule="auto"/>
      </w:pPr>
      <w:r>
        <w:separator/>
      </w:r>
    </w:p>
  </w:endnote>
  <w:endnote w:type="continuationSeparator" w:id="0">
    <w:p w:rsidR="008D6870" w:rsidRDefault="008D6870" w:rsidP="000532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870" w:rsidRDefault="008D6870" w:rsidP="00053271">
      <w:pPr>
        <w:spacing w:after="0" w:line="240" w:lineRule="auto"/>
      </w:pPr>
      <w:r>
        <w:separator/>
      </w:r>
    </w:p>
  </w:footnote>
  <w:footnote w:type="continuationSeparator" w:id="0">
    <w:p w:rsidR="008D6870" w:rsidRDefault="008D6870" w:rsidP="000532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69915384"/>
      <w:docPartObj>
        <w:docPartGallery w:val="Page Numbers (Top of Page)"/>
        <w:docPartUnique/>
      </w:docPartObj>
    </w:sdtPr>
    <w:sdtEndPr>
      <w:rPr>
        <w:sz w:val="28"/>
        <w:szCs w:val="28"/>
      </w:rPr>
    </w:sdtEndPr>
    <w:sdtContent>
      <w:p w:rsidR="00053271" w:rsidRPr="00053271" w:rsidRDefault="00053271">
        <w:pPr>
          <w:pStyle w:val="a3"/>
          <w:jc w:val="center"/>
          <w:rPr>
            <w:sz w:val="28"/>
            <w:szCs w:val="28"/>
          </w:rPr>
        </w:pPr>
        <w:r w:rsidRPr="00053271">
          <w:rPr>
            <w:sz w:val="28"/>
            <w:szCs w:val="28"/>
          </w:rPr>
          <w:fldChar w:fldCharType="begin"/>
        </w:r>
        <w:r w:rsidRPr="00053271">
          <w:rPr>
            <w:sz w:val="28"/>
            <w:szCs w:val="28"/>
          </w:rPr>
          <w:instrText>PAGE   \* MERGEFORMAT</w:instrText>
        </w:r>
        <w:r w:rsidRPr="00053271">
          <w:rPr>
            <w:sz w:val="28"/>
            <w:szCs w:val="28"/>
          </w:rPr>
          <w:fldChar w:fldCharType="separate"/>
        </w:r>
        <w:r w:rsidRPr="00053271">
          <w:rPr>
            <w:noProof/>
            <w:sz w:val="28"/>
            <w:szCs w:val="28"/>
            <w:lang w:val="ru-RU"/>
          </w:rPr>
          <w:t>7</w:t>
        </w:r>
        <w:r w:rsidRPr="00053271">
          <w:rPr>
            <w:sz w:val="28"/>
            <w:szCs w:val="28"/>
          </w:rPr>
          <w:fldChar w:fldCharType="end"/>
        </w:r>
      </w:p>
    </w:sdtContent>
  </w:sdt>
  <w:p w:rsidR="000226D9" w:rsidRPr="00044A27" w:rsidRDefault="008D6870" w:rsidP="008E6830">
    <w:pPr>
      <w:pStyle w:val="a3"/>
      <w:jc w:val="center"/>
      <w:rPr>
        <w:sz w:val="28"/>
        <w:szCs w:val="2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B95"/>
    <w:rsid w:val="00053271"/>
    <w:rsid w:val="002F6B95"/>
    <w:rsid w:val="005B0D83"/>
    <w:rsid w:val="006522E6"/>
    <w:rsid w:val="007A5250"/>
    <w:rsid w:val="00875B3B"/>
    <w:rsid w:val="008D68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56312"/>
  <w15:chartTrackingRefBased/>
  <w15:docId w15:val="{E32B3700-D689-44D0-A9D1-31F9F9567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3271"/>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271"/>
    <w:pPr>
      <w:tabs>
        <w:tab w:val="center" w:pos="4680"/>
        <w:tab w:val="right" w:pos="9360"/>
      </w:tabs>
    </w:pPr>
  </w:style>
  <w:style w:type="character" w:customStyle="1" w:styleId="a4">
    <w:name w:val="Верхний колонтитул Знак"/>
    <w:basedOn w:val="a0"/>
    <w:link w:val="a3"/>
    <w:uiPriority w:val="99"/>
    <w:rsid w:val="00053271"/>
    <w:rPr>
      <w:rFonts w:ascii="Times New Roman" w:eastAsia="Times New Roman" w:hAnsi="Times New Roman" w:cs="Times New Roman"/>
      <w:lang w:val="en-US"/>
    </w:rPr>
  </w:style>
  <w:style w:type="paragraph" w:styleId="a5">
    <w:name w:val="footer"/>
    <w:basedOn w:val="a"/>
    <w:link w:val="a6"/>
    <w:uiPriority w:val="99"/>
    <w:unhideWhenUsed/>
    <w:rsid w:val="0005327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53271"/>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1924</Words>
  <Characters>10972</Characters>
  <Application>Microsoft Office Word</Application>
  <DocSecurity>0</DocSecurity>
  <Lines>91</Lines>
  <Paragraphs>25</Paragraphs>
  <ScaleCrop>false</ScaleCrop>
  <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Нарматова Назгуль Нурбековна</dc:creator>
  <cp:keywords/>
  <dc:description/>
  <cp:lastModifiedBy>Нарматова Назгуль Нурбековна</cp:lastModifiedBy>
  <cp:revision>3</cp:revision>
  <dcterms:created xsi:type="dcterms:W3CDTF">2024-08-16T12:02:00Z</dcterms:created>
  <dcterms:modified xsi:type="dcterms:W3CDTF">2024-08-16T12:10:00Z</dcterms:modified>
</cp:coreProperties>
</file>